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LV-C[C3]-I[3-1-2-5-i-] Participation in the labour market of unemployed, job-seekers and people at risk of unemployment</w:t>
      </w:r>
    </w:p>
    <w:p w:rsidR="00DC6807" w:rsidRPr="00905B9C" w:rsidP="01BD11D8" w14:paraId="4C22E5B9" w14:textId="470FD0EC">
      <w:pPr>
        <w:jc w:val="right"/>
        <w:rPr>
          <w:b/>
          <w:bCs/>
          <w:highlight w:val="cyan"/>
          <w:lang w:val="fr-BE"/>
        </w:rPr>
      </w:pPr>
      <w:r w:rsidRPr="00905B9C" w:rsidR="005B3C6E">
        <w:rPr>
          <w:b/>
          <w:bCs/>
          <w:lang w:val="fr-BE"/>
        </w:rPr>
        <w:t>LV-C[C3]-I[3-1-2-5-i-]-T[129] Unemployed, jobseekers, people at risk of unemployment with improved skills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measure is to improve the upskilling and reskilling of low</w:t>
        <w:footnoteRef/>
        <w:t>skilled workers and unemployed to improve their job opportunities in the labour market. The measure consists of developing a re-training and up-skilling offer with a focus on digital skills for clients (unemployed, jobseekers, persons at risk of unemployment) of the State Employment Agency (SEA), implementing active labour market policy measures, development of a digital tool for the assessment of skills, and upskilling at least 20 450 persons. Under the measure, the Agency shall focus on a more in-depth individual approach based on the results of a reformed and adjusted profiling system. The investment complements the Active Labour Market Policy (ALMP) measures planned under cohesion funds for period 2021-27, which is expected to start after the end of the RRP investment. The implementation of the investment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129</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C3.3-1-2-5-i- Participation in the labour market of unemployed, job-seekers and people at risk of unemployment</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Unemployed, jobseekers, people at risk of unemployment with improved skills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10000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Welfare/ Central Finance and Contracting Agency/ State Employment Agency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10 000 unemployed, jobseekers, people at risk of unemployment with improved skills as certified by the State Employment Agency client accounting system</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in particular as regards the improved skills of unemployed, jobseekers, people at risk of unemployment, as certified by State Employment Agency client accounting system) was satisfactorily fulfilled, with appropriate links to the underlying evidence. This document shall include as an annex the following documentary evidence: a) the list of participants in training measures (anonymised) provided by the State Employment Agency (printout from the unemployment registration and information system IS BURVIS). That list shall include, inter alia, a note as to whether a digital tool has been used in the profiling of that person; b) a brief description of the topics of the upskilling that the unemployed, jobseekers and people at risk of unemployment have received.</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